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3DB" w:rsidRPr="00F153DB" w:rsidRDefault="00F153DB" w:rsidP="003D28C6">
      <w:pPr>
        <w:spacing w:after="0"/>
      </w:pPr>
      <w:r w:rsidRPr="00F153DB">
        <w:t>September 10, 2019</w:t>
      </w:r>
    </w:p>
    <w:p w:rsidR="00F153DB" w:rsidRDefault="00F153DB" w:rsidP="003D28C6">
      <w:pPr>
        <w:spacing w:after="0"/>
        <w:rPr>
          <w:b/>
        </w:rPr>
      </w:pPr>
    </w:p>
    <w:p w:rsidR="003D28C6" w:rsidRPr="003D28C6" w:rsidRDefault="003D28C6" w:rsidP="003D28C6">
      <w:pPr>
        <w:spacing w:after="0"/>
        <w:rPr>
          <w:b/>
        </w:rPr>
      </w:pPr>
      <w:r w:rsidRPr="003D28C6">
        <w:rPr>
          <w:b/>
        </w:rPr>
        <w:t>Bureau of Fire Protection</w:t>
      </w:r>
    </w:p>
    <w:p w:rsidR="003D28C6" w:rsidRDefault="003D28C6" w:rsidP="003D28C6">
      <w:pPr>
        <w:spacing w:after="0"/>
      </w:pPr>
      <w:r>
        <w:t>Regional Office IV-A</w:t>
      </w:r>
    </w:p>
    <w:p w:rsidR="003D28C6" w:rsidRDefault="003D28C6" w:rsidP="003D28C6">
      <w:pPr>
        <w:spacing w:after="0"/>
      </w:pPr>
      <w:proofErr w:type="spellStart"/>
      <w:r>
        <w:t>Calaca</w:t>
      </w:r>
      <w:proofErr w:type="spellEnd"/>
      <w:r>
        <w:t xml:space="preserve"> Central Fire Station</w:t>
      </w:r>
    </w:p>
    <w:p w:rsidR="003D28C6" w:rsidRDefault="003D28C6" w:rsidP="003D28C6">
      <w:pPr>
        <w:spacing w:after="0"/>
      </w:pPr>
      <w:proofErr w:type="spellStart"/>
      <w:r>
        <w:t>Calaca</w:t>
      </w:r>
      <w:proofErr w:type="spellEnd"/>
      <w:r>
        <w:t xml:space="preserve">, </w:t>
      </w:r>
      <w:proofErr w:type="spellStart"/>
      <w:r>
        <w:t>Batangas</w:t>
      </w:r>
      <w:proofErr w:type="spellEnd"/>
    </w:p>
    <w:p w:rsidR="003D28C6" w:rsidRDefault="003D28C6"/>
    <w:p w:rsidR="003D28C6" w:rsidRDefault="003D28C6">
      <w:r>
        <w:t>To: Municipal Fire Marshal</w:t>
      </w:r>
    </w:p>
    <w:p w:rsidR="003D28C6" w:rsidRDefault="003D28C6">
      <w:r>
        <w:t>Subject: Reply to Evaluation Report for Phoenix Asphalt Philippines Inc.</w:t>
      </w:r>
    </w:p>
    <w:p w:rsidR="00D91E70" w:rsidRDefault="00D91E70"/>
    <w:p w:rsidR="003D28C6" w:rsidRDefault="003D28C6">
      <w:r>
        <w:t>Dear Sir,</w:t>
      </w:r>
    </w:p>
    <w:p w:rsidR="003D28C6" w:rsidRDefault="003D28C6"/>
    <w:p w:rsidR="004E7C9C" w:rsidRDefault="003D28C6" w:rsidP="00343C32">
      <w:pPr>
        <w:jc w:val="both"/>
      </w:pPr>
      <w:r>
        <w:rPr>
          <w:noProof/>
          <w:lang w:eastAsia="en-PH"/>
        </w:rPr>
        <mc:AlternateContent>
          <mc:Choice Requires="wps">
            <w:drawing>
              <wp:anchor distT="45720" distB="45720" distL="114300" distR="114300" simplePos="0" relativeHeight="251659264" behindDoc="0" locked="0" layoutInCell="1" allowOverlap="1">
                <wp:simplePos x="0" y="0"/>
                <wp:positionH relativeFrom="column">
                  <wp:posOffset>1390650</wp:posOffset>
                </wp:positionH>
                <wp:positionV relativeFrom="paragraph">
                  <wp:posOffset>1017270</wp:posOffset>
                </wp:positionV>
                <wp:extent cx="3092450" cy="7429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742950"/>
                        </a:xfrm>
                        <a:prstGeom prst="rect">
                          <a:avLst/>
                        </a:prstGeom>
                        <a:solidFill>
                          <a:srgbClr val="FFFFFF"/>
                        </a:solidFill>
                        <a:ln w="9525">
                          <a:solidFill>
                            <a:srgbClr val="000000"/>
                          </a:solidFill>
                          <a:miter lim="800000"/>
                          <a:headEnd/>
                          <a:tailEnd/>
                        </a:ln>
                      </wps:spPr>
                      <wps:txbx>
                        <w:txbxContent>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Bold" w:hAnsi="NewBaskerville-Bold" w:cs="NewBaskerville-Bold"/>
                                <w:b/>
                                <w:bCs/>
                                <w:sz w:val="18"/>
                                <w:szCs w:val="18"/>
                              </w:rPr>
                              <w:t xml:space="preserve">22.8.2 </w:t>
                            </w:r>
                            <w:r>
                              <w:rPr>
                                <w:rFonts w:ascii="NewBaskerville-Roman" w:hAnsi="NewBaskerville-Roman" w:cs="NewBaskerville-Roman"/>
                                <w:sz w:val="18"/>
                                <w:szCs w:val="18"/>
                              </w:rPr>
                              <w:t>Fixed-roof tanks storing Class II or Class III liquids at</w:t>
                            </w:r>
                          </w:p>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Roman" w:hAnsi="NewBaskerville-Roman" w:cs="NewBaskerville-Roman"/>
                                <w:sz w:val="18"/>
                                <w:szCs w:val="18"/>
                              </w:rPr>
                              <w:t>temperatures below their flash points and floating-roof tanks</w:t>
                            </w:r>
                          </w:p>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Roman" w:hAnsi="NewBaskerville-Roman" w:cs="NewBaskerville-Roman"/>
                                <w:sz w:val="18"/>
                                <w:szCs w:val="18"/>
                              </w:rPr>
                              <w:t>storing any liquid shall not require protection when installed</w:t>
                            </w:r>
                          </w:p>
                          <w:p w:rsidR="003D28C6" w:rsidRDefault="003D28C6" w:rsidP="003D28C6">
                            <w:r>
                              <w:rPr>
                                <w:rFonts w:ascii="NewBaskerville-Roman" w:hAnsi="NewBaskerville-Roman" w:cs="NewBaskerville-Roman"/>
                                <w:sz w:val="18"/>
                                <w:szCs w:val="18"/>
                              </w:rPr>
                              <w:t>in accordance with this chapter.</w:t>
                            </w:r>
                          </w:p>
                          <w:p w:rsidR="003D28C6" w:rsidRDefault="003D28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9.5pt;margin-top:80.1pt;width:243.5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">
                <v:textbox>
                  <w:txbxContent>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Bold" w:hAnsi="NewBaskerville-Bold" w:cs="NewBaskerville-Bold"/>
                          <w:b/>
                          <w:bCs/>
                          <w:sz w:val="18"/>
                          <w:szCs w:val="18"/>
                        </w:rPr>
                        <w:t xml:space="preserve">22.8.2 </w:t>
                      </w:r>
                      <w:r>
                        <w:rPr>
                          <w:rFonts w:ascii="NewBaskerville-Roman" w:hAnsi="NewBaskerville-Roman" w:cs="NewBaskerville-Roman"/>
                          <w:sz w:val="18"/>
                          <w:szCs w:val="18"/>
                        </w:rPr>
                        <w:t>Fixed-roof tanks storing Class II or Class III liquids at</w:t>
                      </w:r>
                    </w:p>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Roman" w:hAnsi="NewBaskerville-Roman" w:cs="NewBaskerville-Roman"/>
                          <w:sz w:val="18"/>
                          <w:szCs w:val="18"/>
                        </w:rPr>
                        <w:t>temperatures below their flash points and floating-roof tanks</w:t>
                      </w:r>
                    </w:p>
                    <w:p w:rsidR="003D28C6" w:rsidRDefault="003D28C6" w:rsidP="003D28C6">
                      <w:pPr>
                        <w:autoSpaceDE w:val="0"/>
                        <w:autoSpaceDN w:val="0"/>
                        <w:adjustRightInd w:val="0"/>
                        <w:spacing w:after="0" w:line="240" w:lineRule="auto"/>
                        <w:rPr>
                          <w:rFonts w:ascii="NewBaskerville-Roman" w:hAnsi="NewBaskerville-Roman" w:cs="NewBaskerville-Roman"/>
                          <w:sz w:val="18"/>
                          <w:szCs w:val="18"/>
                        </w:rPr>
                      </w:pPr>
                      <w:r>
                        <w:rPr>
                          <w:rFonts w:ascii="NewBaskerville-Roman" w:hAnsi="NewBaskerville-Roman" w:cs="NewBaskerville-Roman"/>
                          <w:sz w:val="18"/>
                          <w:szCs w:val="18"/>
                        </w:rPr>
                        <w:t>storing any liquid shall not require protection when installed</w:t>
                      </w:r>
                    </w:p>
                    <w:p w:rsidR="003D28C6" w:rsidRDefault="003D28C6" w:rsidP="003D28C6">
                      <w:r>
                        <w:rPr>
                          <w:rFonts w:ascii="NewBaskerville-Roman" w:hAnsi="NewBaskerville-Roman" w:cs="NewBaskerville-Roman"/>
                          <w:sz w:val="18"/>
                          <w:szCs w:val="18"/>
                        </w:rPr>
                        <w:t>in accordance with this chapter.</w:t>
                      </w:r>
                    </w:p>
                    <w:p w:rsidR="003D28C6" w:rsidRDefault="003D28C6"/>
                  </w:txbxContent>
                </v:textbox>
                <w10:wrap type="square"/>
              </v:shape>
            </w:pict>
          </mc:Fallback>
        </mc:AlternateContent>
      </w:r>
      <w:r>
        <w:t xml:space="preserve">   </w:t>
      </w:r>
      <w:r w:rsidR="004E7C9C">
        <w:tab/>
      </w:r>
      <w:r>
        <w:t xml:space="preserve">In reply to the Evaluation Report provided by your office for our Client (Phoenix Asphalt Philippines Inc.) for their </w:t>
      </w:r>
      <w:proofErr w:type="spellStart"/>
      <w:r>
        <w:t>Calaca</w:t>
      </w:r>
      <w:proofErr w:type="spellEnd"/>
      <w:r>
        <w:t xml:space="preserve"> Asphalt Facility dated August 22 of this year I would like to inform you that the Fire Protection of the said Facility has been designed based on Article 22.8.2 of NFPA 30, 2015 Edition. An excerpt of which is herewith attached.</w:t>
      </w:r>
    </w:p>
    <w:p w:rsidR="004E7C9C" w:rsidRPr="004E7C9C" w:rsidRDefault="004E7C9C" w:rsidP="004E7C9C"/>
    <w:p w:rsidR="004E7C9C" w:rsidRPr="004E7C9C" w:rsidRDefault="004E7C9C" w:rsidP="004E7C9C"/>
    <w:p w:rsidR="004E7C9C" w:rsidRPr="004E7C9C" w:rsidRDefault="004E7C9C" w:rsidP="004E7C9C"/>
    <w:p w:rsidR="003D28C6" w:rsidRDefault="003D28C6" w:rsidP="004E7C9C"/>
    <w:p w:rsidR="004E7C9C" w:rsidRDefault="004E7C9C" w:rsidP="00343C32">
      <w:pPr>
        <w:jc w:val="both"/>
      </w:pPr>
      <w:r>
        <w:tab/>
        <w:t xml:space="preserve">The product for our Client’s </w:t>
      </w:r>
      <w:proofErr w:type="spellStart"/>
      <w:r>
        <w:t>Calaca</w:t>
      </w:r>
      <w:proofErr w:type="spellEnd"/>
      <w:r>
        <w:t xml:space="preserve"> Facility is designed to be stored at a Temperature about 80</w:t>
      </w:r>
      <w:r w:rsidR="00343C32">
        <w:t>-90</w:t>
      </w:r>
      <w:r>
        <w:rPr>
          <w:rFonts w:cstheme="minorHAnsi"/>
        </w:rPr>
        <w:t>⁰</w:t>
      </w:r>
      <w:r w:rsidR="00343C32">
        <w:t>C lower than its Flash point</w:t>
      </w:r>
      <w:r w:rsidR="00F153DB">
        <w:t xml:space="preserve"> of &gt;230</w:t>
      </w:r>
      <w:r w:rsidR="00F153DB">
        <w:rPr>
          <w:rFonts w:cstheme="minorHAnsi"/>
        </w:rPr>
        <w:t>⁰</w:t>
      </w:r>
      <w:r w:rsidR="00F153DB">
        <w:t>C</w:t>
      </w:r>
      <w:r w:rsidR="00343C32">
        <w:t xml:space="preserve">. There will be no possibility, as well, of it being heated at a higher </w:t>
      </w:r>
      <w:r w:rsidR="00F153DB">
        <w:t xml:space="preserve">temperature. </w:t>
      </w:r>
    </w:p>
    <w:p w:rsidR="00F153DB" w:rsidRDefault="00F153DB" w:rsidP="00343C32">
      <w:pPr>
        <w:jc w:val="both"/>
      </w:pPr>
      <w:r>
        <w:tab/>
        <w:t xml:space="preserve">Therefore, item 3 of the Evaluation Report requiring an Automatic Water Spray within the diameter of the tank is no longer applicable. </w:t>
      </w:r>
    </w:p>
    <w:p w:rsidR="00F153DB" w:rsidRDefault="00F153DB" w:rsidP="00343C32">
      <w:pPr>
        <w:jc w:val="both"/>
      </w:pPr>
      <w:r>
        <w:tab/>
      </w:r>
    </w:p>
    <w:p w:rsidR="00F153DB" w:rsidRDefault="00F153DB" w:rsidP="00343C32">
      <w:pPr>
        <w:jc w:val="both"/>
      </w:pPr>
    </w:p>
    <w:p w:rsidR="00F153DB" w:rsidRDefault="00F153DB" w:rsidP="00343C32">
      <w:pPr>
        <w:jc w:val="both"/>
      </w:pPr>
    </w:p>
    <w:p w:rsidR="00F153DB" w:rsidRDefault="00F153DB" w:rsidP="00343C32">
      <w:pPr>
        <w:jc w:val="both"/>
      </w:pPr>
      <w:r>
        <w:t>Sincerely,</w:t>
      </w:r>
    </w:p>
    <w:p w:rsidR="00F153DB" w:rsidRDefault="00F153DB" w:rsidP="00343C32">
      <w:pPr>
        <w:jc w:val="both"/>
      </w:pPr>
    </w:p>
    <w:p w:rsidR="00F153DB" w:rsidRDefault="00F153DB" w:rsidP="00343C32">
      <w:pPr>
        <w:jc w:val="both"/>
      </w:pPr>
      <w:r>
        <w:t>Rhyan R. Geronimo</w:t>
      </w:r>
      <w:bookmarkStart w:id="0" w:name="_GoBack"/>
      <w:bookmarkEnd w:id="0"/>
    </w:p>
    <w:sectPr w:rsidR="00F153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Baskerville-Roman">
    <w:panose1 w:val="00000000000000000000"/>
    <w:charset w:val="00"/>
    <w:family w:val="roman"/>
    <w:notTrueType/>
    <w:pitch w:val="default"/>
    <w:sig w:usb0="00000003" w:usb1="00000000" w:usb2="00000000" w:usb3="00000000" w:csb0="00000001" w:csb1="00000000"/>
  </w:font>
  <w:font w:name="NewBaskerville-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E70"/>
    <w:rsid w:val="00075414"/>
    <w:rsid w:val="00343C32"/>
    <w:rsid w:val="003D28C6"/>
    <w:rsid w:val="004E7C9C"/>
    <w:rsid w:val="00D91E70"/>
    <w:rsid w:val="00F153DB"/>
    <w:rsid w:val="00FD01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5154B"/>
  <w15:chartTrackingRefBased/>
  <w15:docId w15:val="{0E0528F7-8E8B-4636-8F3D-869313B66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Rhyan R. Geronimo</dc:creator>
  <cp:keywords/>
  <dc:description/>
  <cp:lastModifiedBy>Rhyan R. Geronimo</cp:lastModifiedBy>
  <cp:revision>3</cp:revision>
  <dcterms:created xsi:type="dcterms:W3CDTF">2019-09-09T10:13:00Z</dcterms:created>
  <dcterms:modified xsi:type="dcterms:W3CDTF">2019-09-10T08:48:00Z</dcterms:modified>
</cp:coreProperties>
</file>